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rPr>
          <w:sz w:val="20"/>
        </w:rPr>
      </w:pPr>
      <w:r>
        <w:rPr>
          <w:sz w:val="20"/>
        </w:rPr>
        <w:drawing>
          <wp:anchor behindDoc="1" distT="0" distB="0" distL="0" distR="0" simplePos="0" locked="0" layoutInCell="1" allowOverlap="1" relativeHeight="2">
            <wp:simplePos x="0" y="0"/>
            <wp:positionH relativeFrom="column">
              <wp:posOffset>-42545</wp:posOffset>
            </wp:positionH>
            <wp:positionV relativeFrom="paragraph">
              <wp:posOffset>93345</wp:posOffset>
            </wp:positionV>
            <wp:extent cx="1042035" cy="704215"/>
            <wp:effectExtent l="0" t="0" r="0" b="0"/>
            <wp:wrapNone/>
            <wp:docPr id="1" name="Image2" descr="G:\Venkat 07 Feb 2019\Corporate Communications\Ad Material\Midhani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 descr="G:\Venkat 07 Feb 2019\Corporate Communications\Ad Material\Midhani Logo.jpg"/>
                    <pic:cNvPicPr>
                      <a:picLocks noChangeAspect="1" noChangeArrowheads="1"/>
                    </pic:cNvPicPr>
                  </pic:nvPicPr>
                  <pic:blipFill>
                    <a:blip r:embed="rId2"/>
                    <a:stretch>
                      <a:fillRect/>
                    </a:stretch>
                  </pic:blipFill>
                  <pic:spPr bwMode="auto">
                    <a:xfrm>
                      <a:off x="0" y="0"/>
                      <a:ext cx="1042035" cy="704215"/>
                    </a:xfrm>
                    <a:prstGeom prst="rect">
                      <a:avLst/>
                    </a:prstGeom>
                  </pic:spPr>
                </pic:pic>
              </a:graphicData>
            </a:graphic>
          </wp:anchor>
        </w:drawing>
        <w:drawing>
          <wp:anchor behindDoc="1" distT="0" distB="0" distL="0" distR="0" simplePos="0" locked="0" layoutInCell="1" allowOverlap="1" relativeHeight="3">
            <wp:simplePos x="0" y="0"/>
            <wp:positionH relativeFrom="column">
              <wp:posOffset>5693410</wp:posOffset>
            </wp:positionH>
            <wp:positionV relativeFrom="paragraph">
              <wp:posOffset>-19050</wp:posOffset>
            </wp:positionV>
            <wp:extent cx="1072515" cy="933450"/>
            <wp:effectExtent l="0" t="0" r="0" b="0"/>
            <wp:wrapNone/>
            <wp:docPr id="2" name="Picture 1" descr="Skill India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Skill India - Wikipedia"/>
                    <pic:cNvPicPr>
                      <a:picLocks noChangeAspect="1" noChangeArrowheads="1"/>
                    </pic:cNvPicPr>
                  </pic:nvPicPr>
                  <pic:blipFill>
                    <a:blip r:embed="rId3"/>
                    <a:stretch>
                      <a:fillRect/>
                    </a:stretch>
                  </pic:blipFill>
                  <pic:spPr bwMode="auto">
                    <a:xfrm>
                      <a:off x="0" y="0"/>
                      <a:ext cx="1072515" cy="933450"/>
                    </a:xfrm>
                    <a:prstGeom prst="rect">
                      <a:avLst/>
                    </a:prstGeom>
                  </pic:spPr>
                </pic:pic>
              </a:graphicData>
            </a:graphic>
          </wp:anchor>
        </w:drawing>
      </w:r>
    </w:p>
    <w:p>
      <w:pPr>
        <w:pStyle w:val="Normal"/>
        <w:spacing w:lineRule="auto" w:line="240" w:before="0" w:after="0"/>
        <w:jc w:val="center"/>
        <w:rPr>
          <w:rFonts w:ascii="Book Antiqua" w:hAnsi="Book Antiqua" w:cs="Arial"/>
          <w:b/>
          <w:bCs/>
          <w:sz w:val="26"/>
          <w:szCs w:val="26"/>
        </w:rPr>
      </w:pPr>
      <w:r>
        <w:rPr>
          <w:rFonts w:cs="Arial" w:ascii="Book Antiqua" w:hAnsi="Book Antiqua"/>
          <w:b/>
          <w:bCs/>
          <w:szCs w:val="26"/>
        </w:rPr>
        <w:t>MISHRA DHATU NIGAM LIMITED</w:t>
      </w:r>
    </w:p>
    <w:p>
      <w:pPr>
        <w:pStyle w:val="Normal"/>
        <w:tabs>
          <w:tab w:val="clear" w:pos="720"/>
          <w:tab w:val="center" w:pos="4680" w:leader="none"/>
        </w:tabs>
        <w:spacing w:lineRule="auto" w:line="240" w:before="0" w:after="0"/>
        <w:jc w:val="center"/>
        <w:rPr>
          <w:szCs w:val="26"/>
        </w:rPr>
      </w:pPr>
      <w:r>
        <w:rPr>
          <w:rFonts w:cs="Arial" w:ascii="Book Antiqua" w:hAnsi="Book Antiqua"/>
          <w:b/>
          <w:bCs/>
          <w:szCs w:val="26"/>
        </w:rPr>
        <w:t xml:space="preserve">          </w:t>
      </w:r>
      <w:r>
        <w:rPr>
          <w:rFonts w:cs="Arial" w:ascii="Book Antiqua" w:hAnsi="Book Antiqua"/>
          <w:b/>
          <w:bCs/>
          <w:szCs w:val="26"/>
        </w:rPr>
        <w:t>(A Government of India Enterprise) (A Mini Ratna-I Company)</w:t>
      </w:r>
    </w:p>
    <w:p>
      <w:pPr>
        <w:pStyle w:val="Normal"/>
        <w:spacing w:lineRule="auto" w:line="240" w:before="0" w:after="0"/>
        <w:jc w:val="center"/>
        <w:rPr>
          <w:szCs w:val="26"/>
        </w:rPr>
      </w:pPr>
      <w:r>
        <w:rPr>
          <w:rFonts w:cs="Arial" w:ascii="Book Antiqua" w:hAnsi="Book Antiqua"/>
          <w:b/>
          <w:bCs/>
          <w:szCs w:val="26"/>
        </w:rPr>
        <w:t>Regd.Office: P.O. Kanchanbagh, Hyderabad – 500 058</w:t>
      </w:r>
    </w:p>
    <w:p>
      <w:pPr>
        <w:pStyle w:val="NoSpacing"/>
        <w:jc w:val="center"/>
        <w:rPr>
          <w:rFonts w:ascii="Arial" w:hAnsi="Arial" w:cs="Arial"/>
          <w:sz w:val="20"/>
        </w:rPr>
      </w:pPr>
      <w:r>
        <w:rPr>
          <w:rFonts w:cs="Arial" w:ascii="Arial" w:hAnsi="Arial"/>
          <w:sz w:val="20"/>
        </w:rPr>
      </w:r>
    </w:p>
    <w:p>
      <w:pPr>
        <w:pStyle w:val="NoSpacing"/>
        <w:jc w:val="center"/>
        <w:rPr>
          <w:rFonts w:ascii="Arial" w:hAnsi="Arial" w:cs="Arial"/>
          <w:b/>
          <w:bCs/>
          <w:sz w:val="18"/>
          <w:szCs w:val="10"/>
          <w:u w:val="single"/>
        </w:rPr>
      </w:pPr>
      <w:r>
        <w:rPr>
          <w:rFonts w:cs="Arial" w:ascii="Arial" w:hAnsi="Arial"/>
          <w:b/>
          <w:bCs/>
          <w:sz w:val="18"/>
          <w:szCs w:val="10"/>
          <w:u w:val="single"/>
        </w:rPr>
      </w:r>
    </w:p>
    <w:p>
      <w:pPr>
        <w:pStyle w:val="NoSpacing"/>
        <w:jc w:val="center"/>
        <w:rPr>
          <w:rFonts w:ascii="Arial" w:hAnsi="Arial" w:cs="Arial"/>
          <w:b/>
          <w:bCs/>
          <w:sz w:val="28"/>
          <w:u w:val="single"/>
        </w:rPr>
      </w:pPr>
      <w:r>
        <w:rPr>
          <w:rFonts w:cs="Arial" w:ascii="Arial" w:hAnsi="Arial"/>
          <w:b/>
          <w:bCs/>
          <w:sz w:val="28"/>
          <w:u w:val="single"/>
        </w:rPr>
        <w:t>Engagement of ITI Trade Apprentice Trainees</w:t>
      </w:r>
    </w:p>
    <w:p>
      <w:pPr>
        <w:pStyle w:val="NoSpacing"/>
        <w:jc w:val="center"/>
        <w:rPr>
          <w:rFonts w:ascii="Arial" w:hAnsi="Arial" w:cs="Arial"/>
          <w:sz w:val="20"/>
        </w:rPr>
      </w:pPr>
      <w:r>
        <w:rPr>
          <w:rFonts w:cs="Arial" w:ascii="Arial" w:hAnsi="Arial"/>
          <w:sz w:val="20"/>
        </w:rPr>
      </w:r>
    </w:p>
    <w:p>
      <w:pPr>
        <w:pStyle w:val="Normal"/>
        <w:widowControl w:val="false"/>
        <w:spacing w:before="0" w:after="0"/>
        <w:jc w:val="both"/>
        <w:rPr>
          <w:rFonts w:ascii="Arial" w:hAnsi="Arial" w:cs="Arial"/>
        </w:rPr>
      </w:pPr>
      <w:r>
        <w:rPr>
          <w:rFonts w:cs="Arial" w:ascii="Arial" w:hAnsi="Arial"/>
        </w:rPr>
        <w:t xml:space="preserve">MISHRA DHATU NIGAM LIMITED, a Mini Ratna - I and an ISO 9001:2015 &amp; AS 9100D:2016,        ISO14001:2015, ISO 45001:2018 Company, is a high-tech Metallurgical industry under the administrative control of Ministry of Defence, engaged in the manufacture of super alloys and special steels, titanium alloys in various mill forms and shapes for strategic sectors like Defence, Space, Atomic Energy and also for Commercial sectors. </w:t>
      </w:r>
    </w:p>
    <w:p>
      <w:pPr>
        <w:pStyle w:val="Normal"/>
        <w:spacing w:lineRule="auto" w:line="240" w:before="0" w:after="0"/>
        <w:jc w:val="both"/>
        <w:rPr>
          <w:rFonts w:ascii="Arial" w:hAnsi="Arial" w:cs="Arial"/>
          <w:szCs w:val="22"/>
        </w:rPr>
      </w:pPr>
      <w:r>
        <w:rPr>
          <w:rFonts w:cs="Arial" w:ascii="Arial" w:hAnsi="Arial"/>
          <w:szCs w:val="22"/>
        </w:rPr>
      </w:r>
    </w:p>
    <w:p>
      <w:pPr>
        <w:pStyle w:val="Normal"/>
        <w:spacing w:lineRule="auto" w:line="240" w:before="0" w:after="0"/>
        <w:jc w:val="both"/>
        <w:rPr>
          <w:rFonts w:ascii="Arial" w:hAnsi="Arial" w:cs="Arial"/>
          <w:szCs w:val="22"/>
        </w:rPr>
      </w:pPr>
      <w:r>
        <w:rPr>
          <w:rFonts w:cs="Arial" w:ascii="Arial" w:hAnsi="Arial"/>
          <w:szCs w:val="22"/>
        </w:rPr>
        <w:tab/>
        <w:t xml:space="preserve">MISHRA DHATU NIGAM LIMITED (MIDHANI) requires </w:t>
      </w:r>
      <w:r>
        <w:rPr>
          <w:rFonts w:cs="Arial" w:ascii="Arial" w:hAnsi="Arial"/>
          <w:b/>
          <w:bCs/>
          <w:szCs w:val="22"/>
          <w:u w:val="single"/>
        </w:rPr>
        <w:t>160</w:t>
      </w:r>
      <w:r>
        <w:rPr>
          <w:rFonts w:cs="Arial" w:ascii="Arial" w:hAnsi="Arial"/>
          <w:szCs w:val="22"/>
        </w:rPr>
        <w:t xml:space="preserve"> ITI Trade Apprentices for </w:t>
      </w:r>
      <w:r>
        <w:rPr>
          <w:rFonts w:cs="Arial" w:ascii="Arial" w:hAnsi="Arial"/>
          <w:b/>
          <w:bCs/>
          <w:szCs w:val="22"/>
          <w:u w:val="single"/>
        </w:rPr>
        <w:t>one</w:t>
      </w:r>
      <w:r>
        <w:rPr>
          <w:rFonts w:cs="Arial" w:ascii="Arial" w:hAnsi="Arial"/>
          <w:szCs w:val="22"/>
        </w:rPr>
        <w:t xml:space="preserve"> year apprenticeship training under the Apprenticeship Act, 1961 in the following trades:</w:t>
      </w:r>
    </w:p>
    <w:p>
      <w:pPr>
        <w:pStyle w:val="Normal"/>
        <w:spacing w:lineRule="auto" w:line="240" w:before="0" w:after="0"/>
        <w:jc w:val="both"/>
        <w:rPr>
          <w:rFonts w:ascii="Arial" w:hAnsi="Arial" w:cs="Arial"/>
          <w:sz w:val="10"/>
          <w:szCs w:val="22"/>
        </w:rPr>
      </w:pPr>
      <w:r>
        <w:rPr>
          <w:rFonts w:cs="Arial" w:ascii="Arial" w:hAnsi="Arial"/>
          <w:sz w:val="10"/>
          <w:szCs w:val="22"/>
        </w:rPr>
      </w:r>
    </w:p>
    <w:tbl>
      <w:tblPr>
        <w:tblStyle w:val="TableGrid"/>
        <w:tblpPr w:vertAnchor="text" w:horzAnchor="margin" w:tblpXSpec="center" w:leftFromText="180" w:rightFromText="180" w:tblpY="48"/>
        <w:tblW w:w="7378" w:type="dxa"/>
        <w:jc w:val="center"/>
        <w:tblInd w:w="0" w:type="dxa"/>
        <w:tblLayout w:type="fixed"/>
        <w:tblCellMar>
          <w:top w:w="0" w:type="dxa"/>
          <w:left w:w="108" w:type="dxa"/>
          <w:bottom w:w="0" w:type="dxa"/>
          <w:right w:w="108" w:type="dxa"/>
        </w:tblCellMar>
        <w:tblLook w:val="04a0"/>
      </w:tblPr>
      <w:tblGrid>
        <w:gridCol w:w="3601"/>
        <w:gridCol w:w="1258"/>
        <w:gridCol w:w="2519"/>
      </w:tblGrid>
      <w:tr>
        <w:trPr/>
        <w:tc>
          <w:tcPr>
            <w:tcW w:w="3601" w:type="dxa"/>
            <w:tcBorders/>
            <w:vAlign w:val="center"/>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Trades</w:t>
            </w:r>
          </w:p>
        </w:tc>
        <w:tc>
          <w:tcPr>
            <w:tcW w:w="1258" w:type="dxa"/>
            <w:tcBorders/>
            <w:vAlign w:val="center"/>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No of vacancies</w:t>
            </w:r>
          </w:p>
        </w:tc>
        <w:tc>
          <w:tcPr>
            <w:tcW w:w="2519" w:type="dxa"/>
            <w:tcBorders/>
            <w:vAlign w:val="center"/>
          </w:tcPr>
          <w:p>
            <w:pPr>
              <w:pStyle w:val="Normal"/>
              <w:widowControl/>
              <w:suppressAutoHyphens w:val="true"/>
              <w:spacing w:lineRule="auto" w:line="240" w:before="0" w:after="0"/>
              <w:jc w:val="center"/>
              <w:rPr>
                <w:rFonts w:ascii="Arial" w:hAnsi="Arial" w:cs="Arial"/>
                <w:b/>
                <w:bCs/>
                <w:sz w:val="20"/>
              </w:rPr>
            </w:pPr>
            <w:r>
              <w:rPr>
                <w:rFonts w:eastAsia="" w:cs="Arial" w:ascii="Arial" w:hAnsi="Arial"/>
                <w:b/>
                <w:bCs/>
                <w:kern w:val="0"/>
                <w:sz w:val="20"/>
                <w:szCs w:val="20"/>
                <w:lang w:val="en-IN" w:eastAsia="en-IN" w:bidi="hi-IN"/>
              </w:rPr>
              <w:t>Stipend (Rs.)</w:t>
            </w:r>
          </w:p>
          <w:p>
            <w:pPr>
              <w:pStyle w:val="Normal"/>
              <w:widowControl/>
              <w:suppressAutoHyphens w:val="true"/>
              <w:spacing w:lineRule="auto" w:line="240" w:before="0" w:after="0"/>
              <w:jc w:val="center"/>
              <w:rPr>
                <w:sz w:val="20"/>
                <w:lang w:bidi="te-IN"/>
              </w:rPr>
            </w:pPr>
            <w:r>
              <w:rPr>
                <w:rFonts w:eastAsia="" w:cs="Arial" w:ascii="Arial" w:hAnsi="Arial"/>
                <w:b/>
                <w:bCs/>
                <w:kern w:val="0"/>
                <w:sz w:val="20"/>
                <w:szCs w:val="20"/>
                <w:lang w:val="en-IN" w:eastAsia="en-IN" w:bidi="hi-IN"/>
              </w:rPr>
              <w:t>Per Month</w:t>
            </w:r>
          </w:p>
        </w:tc>
      </w:tr>
      <w:tr>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Fitter</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45</w:t>
            </w:r>
          </w:p>
        </w:tc>
        <w:tc>
          <w:tcPr>
            <w:tcW w:w="2519" w:type="dxa"/>
            <w:vMerge w:val="restart"/>
            <w:tcBorders/>
          </w:tcPr>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p>
            <w:pPr>
              <w:pStyle w:val="Normal"/>
              <w:widowControl/>
              <w:suppressAutoHyphens w:val="true"/>
              <w:spacing w:lineRule="auto" w:line="240" w:before="0" w:after="0"/>
              <w:jc w:val="center"/>
              <w:rPr>
                <w:rFonts w:ascii="Book Antiqua" w:hAnsi="Book Antiqua" w:cs="Arial"/>
                <w:b/>
                <w:bCs/>
              </w:rPr>
            </w:pPr>
            <w:r>
              <w:rPr>
                <w:rFonts w:cs="Arial" w:ascii="Book Antiqua" w:hAnsi="Book Antiqua"/>
                <w:b/>
                <w:bCs/>
                <w:sz w:val="22"/>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360" w:before="0" w:after="0"/>
              <w:jc w:val="center"/>
              <w:rPr>
                <w:sz w:val="24"/>
                <w:szCs w:val="24"/>
              </w:rPr>
            </w:pPr>
            <w:r>
              <w:rPr>
                <w:rFonts w:eastAsia="" w:cs="Arial" w:ascii="Arial" w:hAnsi="Arial"/>
                <w:b/>
                <w:bCs/>
                <w:kern w:val="0"/>
                <w:sz w:val="24"/>
                <w:szCs w:val="24"/>
                <w:lang w:val="en-IN" w:eastAsia="en-IN" w:bidi="hi-IN"/>
              </w:rPr>
              <w:t>Rs.9,600/-</w:t>
            </w:r>
          </w:p>
          <w:p>
            <w:pPr>
              <w:pStyle w:val="Normal"/>
              <w:widowControl/>
              <w:suppressAutoHyphens w:val="true"/>
              <w:spacing w:lineRule="auto" w:line="360" w:before="0" w:after="0"/>
              <w:jc w:val="center"/>
              <w:rPr>
                <w:sz w:val="20"/>
              </w:rPr>
            </w:pPr>
            <w:r>
              <w:rPr>
                <w:sz w:val="20"/>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240" w:before="0" w:after="0"/>
              <w:jc w:val="center"/>
              <w:rPr>
                <w:sz w:val="20"/>
              </w:rPr>
            </w:pPr>
            <w:r>
              <w:rPr>
                <w:sz w:val="20"/>
              </w:rPr>
            </w:r>
          </w:p>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p>
            <w:pPr>
              <w:pStyle w:val="Normal"/>
              <w:widowControl/>
              <w:suppressAutoHyphens w:val="true"/>
              <w:spacing w:lineRule="auto" w:line="240" w:before="0" w:after="0"/>
              <w:jc w:val="center"/>
              <w:rPr>
                <w:rFonts w:ascii="Book Antiqua" w:hAnsi="Book Antiqua" w:cs="Arial"/>
                <w:b/>
                <w:bCs/>
                <w:sz w:val="20"/>
              </w:rPr>
            </w:pPr>
            <w:r>
              <w:rPr>
                <w:rFonts w:cs="Arial" w:ascii="Book Antiqua" w:hAnsi="Book Antiqua"/>
                <w:b/>
                <w:bCs/>
                <w:sz w:val="20"/>
              </w:rPr>
            </w:r>
          </w:p>
        </w:tc>
      </w:tr>
      <w:tr>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Electrician</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30</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Machinist</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15</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Turner</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15</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Diesel Mechanic</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03</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R&amp;AC</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02</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Welder</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15</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COPA</w:t>
            </w:r>
          </w:p>
        </w:tc>
        <w:tc>
          <w:tcPr>
            <w:tcW w:w="1258" w:type="dxa"/>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10</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Photographer</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01</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Plumber</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02</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Instrument Mechanic</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03</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Chemical Laboratory Assistant</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06</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Draughtsman (Civil)</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03</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Carpenter</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03</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Foundrymen</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02</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Furnace Operator (Steel Industry)</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02</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252" w:hRule="atLeast"/>
        </w:trPr>
        <w:tc>
          <w:tcPr>
            <w:tcW w:w="3601" w:type="dxa"/>
            <w:tcBorders>
              <w:top w:val="nil"/>
            </w:tcBorders>
          </w:tcPr>
          <w:p>
            <w:pPr>
              <w:pStyle w:val="Normal"/>
              <w:widowControl/>
              <w:suppressAutoHyphens w:val="true"/>
              <w:spacing w:lineRule="auto" w:line="240" w:before="0" w:after="0"/>
              <w:jc w:val="left"/>
              <w:rPr>
                <w:sz w:val="20"/>
              </w:rPr>
            </w:pPr>
            <w:r>
              <w:rPr>
                <w:rFonts w:eastAsia="" w:cs="Arial" w:ascii="Arial" w:hAnsi="Arial"/>
                <w:b/>
                <w:bCs/>
                <w:kern w:val="0"/>
                <w:sz w:val="20"/>
                <w:szCs w:val="20"/>
                <w:lang w:val="en-IN" w:eastAsia="en-IN" w:bidi="hi-IN"/>
              </w:rPr>
              <w:t>Pump Operator cum Mechanic</w:t>
            </w:r>
          </w:p>
        </w:tc>
        <w:tc>
          <w:tcPr>
            <w:tcW w:w="1258" w:type="dxa"/>
            <w:tcBorders>
              <w:top w:val="nil"/>
            </w:tcBorders>
          </w:tcPr>
          <w:p>
            <w:pPr>
              <w:pStyle w:val="Normal"/>
              <w:widowControl/>
              <w:suppressAutoHyphens w:val="true"/>
              <w:spacing w:lineRule="auto" w:line="240" w:before="0" w:after="0"/>
              <w:jc w:val="center"/>
              <w:rPr>
                <w:sz w:val="20"/>
              </w:rPr>
            </w:pPr>
            <w:r>
              <w:rPr>
                <w:rFonts w:eastAsia="" w:cs="Arial" w:ascii="Arial" w:hAnsi="Arial"/>
                <w:b/>
                <w:bCs/>
                <w:kern w:val="0"/>
                <w:sz w:val="20"/>
                <w:szCs w:val="20"/>
                <w:lang w:val="en-IN" w:eastAsia="en-IN" w:bidi="hi-IN"/>
              </w:rPr>
              <w:t>03</w:t>
            </w:r>
          </w:p>
        </w:tc>
        <w:tc>
          <w:tcPr>
            <w:tcW w:w="2519" w:type="dxa"/>
            <w:vMerge w:val="continue"/>
            <w:tcBorders>
              <w:top w:val="nil"/>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r>
        <w:trPr>
          <w:trHeight w:val="70" w:hRule="atLeast"/>
        </w:trPr>
        <w:tc>
          <w:tcPr>
            <w:tcW w:w="3601" w:type="dxa"/>
            <w:tcBorders/>
          </w:tcPr>
          <w:p>
            <w:pPr>
              <w:pStyle w:val="Normal"/>
              <w:widowControl/>
              <w:suppressAutoHyphens w:val="true"/>
              <w:spacing w:lineRule="auto" w:line="240" w:before="0" w:after="0"/>
              <w:jc w:val="right"/>
              <w:rPr>
                <w:rFonts w:ascii="Arial" w:hAnsi="Arial" w:cs="Arial"/>
                <w:b/>
                <w:bCs/>
                <w:szCs w:val="22"/>
              </w:rPr>
            </w:pPr>
            <w:r>
              <w:rPr>
                <w:rFonts w:eastAsia="" w:cs="Arial" w:ascii="Arial" w:hAnsi="Arial"/>
                <w:b/>
                <w:bCs/>
                <w:kern w:val="0"/>
                <w:sz w:val="22"/>
                <w:szCs w:val="22"/>
                <w:lang w:val="en-IN" w:eastAsia="en-IN" w:bidi="hi-IN"/>
              </w:rPr>
              <w:t>Total</w:t>
            </w:r>
          </w:p>
        </w:tc>
        <w:tc>
          <w:tcPr>
            <w:tcW w:w="1258" w:type="dxa"/>
            <w:tcBorders/>
          </w:tcPr>
          <w:p>
            <w:pPr>
              <w:pStyle w:val="Normal"/>
              <w:widowControl/>
              <w:suppressAutoHyphens w:val="true"/>
              <w:spacing w:lineRule="auto" w:line="240" w:before="0" w:after="0"/>
              <w:jc w:val="center"/>
              <w:rPr>
                <w:rFonts w:ascii="Arial" w:hAnsi="Arial" w:cs="Arial"/>
                <w:b/>
                <w:bCs/>
                <w:szCs w:val="22"/>
              </w:rPr>
            </w:pPr>
            <w:r>
              <w:rPr>
                <w:rFonts w:eastAsia="" w:cs="Arial" w:ascii="Arial" w:hAnsi="Arial"/>
                <w:b/>
                <w:bCs/>
                <w:kern w:val="0"/>
                <w:sz w:val="22"/>
                <w:szCs w:val="22"/>
                <w:lang w:val="en-IN" w:eastAsia="en-IN" w:bidi="hi-IN"/>
              </w:rPr>
              <w:t>160</w:t>
            </w:r>
          </w:p>
        </w:tc>
        <w:tc>
          <w:tcPr>
            <w:tcW w:w="2519" w:type="dxa"/>
            <w:vMerge w:val="continue"/>
            <w:tcBorders/>
          </w:tcPr>
          <w:p>
            <w:pPr>
              <w:pStyle w:val="Normal"/>
              <w:widowControl/>
              <w:suppressAutoHyphens w:val="true"/>
              <w:spacing w:lineRule="auto" w:line="240" w:before="0" w:after="0"/>
              <w:jc w:val="center"/>
              <w:rPr>
                <w:rFonts w:ascii="Arial" w:hAnsi="Arial" w:cs="Arial"/>
                <w:b/>
                <w:bCs/>
                <w:szCs w:val="22"/>
              </w:rPr>
            </w:pPr>
            <w:r>
              <w:rPr>
                <w:rFonts w:cs="Arial" w:ascii="Arial" w:hAnsi="Arial"/>
                <w:b/>
                <w:bCs/>
                <w:sz w:val="22"/>
                <w:szCs w:val="22"/>
              </w:rPr>
            </w:r>
          </w:p>
        </w:tc>
      </w:tr>
    </w:tbl>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ind w:firstLine="720"/>
        <w:jc w:val="both"/>
        <w:rPr>
          <w:rFonts w:ascii="Arial" w:hAnsi="Arial" w:cs="Arial"/>
          <w:b/>
          <w:bCs/>
          <w:sz w:val="2"/>
          <w:szCs w:val="2"/>
        </w:rPr>
      </w:pPr>
      <w:r>
        <w:rPr>
          <w:rFonts w:cs="Arial" w:ascii="Arial" w:hAnsi="Arial"/>
          <w:b/>
          <w:bCs/>
          <w:sz w:val="2"/>
          <w:szCs w:val="2"/>
        </w:rPr>
      </w:r>
    </w:p>
    <w:p>
      <w:pPr>
        <w:pStyle w:val="Normal"/>
        <w:spacing w:lineRule="auto" w:line="360"/>
        <w:ind w:firstLine="720"/>
        <w:jc w:val="both"/>
        <w:rPr>
          <w:rFonts w:ascii="Arial" w:hAnsi="Arial" w:cs="Arial"/>
          <w:b/>
          <w:bCs/>
          <w:sz w:val="2"/>
          <w:szCs w:val="2"/>
        </w:rPr>
      </w:pPr>
      <w:r>
        <w:rPr>
          <w:rFonts w:cs="Arial" w:ascii="Arial" w:hAnsi="Arial"/>
          <w:b/>
          <w:bCs/>
          <w:sz w:val="2"/>
          <w:szCs w:val="2"/>
        </w:rPr>
      </w:r>
    </w:p>
    <w:p>
      <w:pPr>
        <w:pStyle w:val="Normal"/>
        <w:spacing w:lineRule="auto" w:line="360"/>
        <w:jc w:val="both"/>
        <w:rPr>
          <w:rFonts w:ascii="Arial" w:hAnsi="Arial" w:cs="Arial"/>
          <w:b/>
          <w:bCs/>
          <w:szCs w:val="22"/>
        </w:rPr>
      </w:pPr>
      <w:r>
        <w:rPr>
          <w:rFonts w:cs="Arial" w:ascii="Arial" w:hAnsi="Arial"/>
          <w:b/>
          <w:bCs/>
          <w:szCs w:val="22"/>
        </w:rPr>
        <w:t xml:space="preserve">Candidates should register their details at </w:t>
      </w:r>
      <w:hyperlink r:id="rId4">
        <w:r>
          <w:rPr>
            <w:rStyle w:val="Hyperlink"/>
            <w:rFonts w:cs="Arial" w:ascii="Arial" w:hAnsi="Arial"/>
            <w:b/>
            <w:bCs/>
            <w:szCs w:val="22"/>
          </w:rPr>
          <w:t>www.apprenticeshipindia.org</w:t>
        </w:r>
      </w:hyperlink>
      <w:r>
        <w:rPr>
          <w:rFonts w:cs="Arial" w:ascii="Arial" w:hAnsi="Arial"/>
          <w:b/>
          <w:bCs/>
          <w:szCs w:val="22"/>
        </w:rPr>
        <w:t xml:space="preserve"> portal and complete their E-KYC. After registration and applying for MIDHANI in the apprentice portal, send the hard copies of online registration, copies of 10</w:t>
      </w:r>
      <w:r>
        <w:rPr>
          <w:rFonts w:cs="Arial" w:ascii="Arial" w:hAnsi="Arial"/>
          <w:b/>
          <w:bCs/>
          <w:szCs w:val="22"/>
          <w:vertAlign w:val="superscript"/>
        </w:rPr>
        <w:t>th</w:t>
      </w:r>
      <w:r>
        <w:rPr>
          <w:rFonts w:cs="Arial" w:ascii="Arial" w:hAnsi="Arial"/>
          <w:b/>
          <w:bCs/>
          <w:szCs w:val="22"/>
        </w:rPr>
        <w:t xml:space="preserve">/SSC marks sheet, ITI marks sheet along with provisional/Final certificate and caste certificate (if applicable) and Aadhar card </w:t>
      </w:r>
      <w:r>
        <w:rPr>
          <w:rFonts w:cs="Arial" w:ascii="Arial" w:hAnsi="Arial"/>
          <w:b/>
          <w:bCs/>
          <w:szCs w:val="22"/>
          <w:u w:val="single"/>
        </w:rPr>
        <w:t>to be send by post to Addl. General Manager - I/c Training &amp; Development department, MIDHANI, Kanchanbagh, Hyderabad – 500 058 and should reach on or before 10-Dec-2025</w:t>
      </w:r>
      <w:r>
        <w:rPr>
          <w:rFonts w:cs="Arial" w:ascii="Arial" w:hAnsi="Arial"/>
          <w:b/>
          <w:bCs/>
          <w:i/>
          <w:iCs/>
          <w:szCs w:val="22"/>
        </w:rPr>
        <w:t>.</w:t>
      </w:r>
      <w:r>
        <w:rPr>
          <w:rFonts w:cs="Arial" w:ascii="Arial" w:hAnsi="Arial"/>
          <w:b/>
          <w:bCs/>
          <w:szCs w:val="22"/>
        </w:rPr>
        <w:t xml:space="preserve"> </w:t>
      </w:r>
    </w:p>
    <w:p>
      <w:pPr>
        <w:pStyle w:val="Normal"/>
        <w:spacing w:lineRule="auto" w:line="240" w:before="0" w:after="0"/>
        <w:jc w:val="both"/>
        <w:rPr>
          <w:rFonts w:ascii="Arial" w:hAnsi="Arial" w:cs="Arial"/>
          <w:b/>
          <w:bCs/>
          <w:szCs w:val="22"/>
          <w:u w:val="single"/>
        </w:rPr>
      </w:pPr>
      <w:r>
        <w:rPr>
          <w:rFonts w:cs="Arial" w:ascii="Arial" w:hAnsi="Arial"/>
          <w:b/>
          <w:bCs/>
          <w:szCs w:val="22"/>
          <w:u w:val="single"/>
        </w:rPr>
        <w:t xml:space="preserve">Selection Criteria / Process: </w:t>
      </w:r>
    </w:p>
    <w:p>
      <w:pPr>
        <w:pStyle w:val="Normal"/>
        <w:spacing w:lineRule="auto" w:line="240" w:before="0" w:after="0"/>
        <w:jc w:val="both"/>
        <w:rPr>
          <w:rFonts w:ascii="Arial" w:hAnsi="Arial" w:cs="Arial"/>
          <w:b/>
          <w:bCs/>
          <w:szCs w:val="22"/>
          <w:u w:val="single"/>
        </w:rPr>
      </w:pPr>
      <w:r>
        <w:rPr>
          <w:rFonts w:cs="Arial" w:ascii="Arial" w:hAnsi="Arial"/>
          <w:b/>
          <w:bCs/>
          <w:szCs w:val="22"/>
          <w:u w:val="single"/>
        </w:rPr>
      </w:r>
    </w:p>
    <w:p>
      <w:pPr>
        <w:pStyle w:val="Normal"/>
        <w:spacing w:lineRule="auto" w:line="240" w:before="0" w:after="0"/>
        <w:jc w:val="both"/>
        <w:rPr>
          <w:rFonts w:ascii="Arial" w:hAnsi="Arial" w:cs="Arial"/>
          <w:b/>
          <w:bCs/>
          <w:sz w:val="4"/>
          <w:szCs w:val="4"/>
          <w:u w:val="single"/>
        </w:rPr>
      </w:pPr>
      <w:r>
        <w:rPr>
          <w:rFonts w:cs="Arial" w:ascii="Arial" w:hAnsi="Arial"/>
          <w:b/>
          <w:bCs/>
          <w:sz w:val="4"/>
          <w:szCs w:val="4"/>
          <w:u w:val="single"/>
        </w:rPr>
      </w:r>
    </w:p>
    <w:p>
      <w:pPr>
        <w:pStyle w:val="NoSpacing"/>
        <w:spacing w:lineRule="auto" w:line="360"/>
        <w:jc w:val="both"/>
        <w:rPr>
          <w:rFonts w:ascii="Arial" w:hAnsi="Arial" w:cs="Arial"/>
          <w:b/>
          <w:bCs/>
          <w:i/>
          <w:i/>
          <w:iCs/>
          <w:sz w:val="4"/>
          <w:szCs w:val="4"/>
          <w:u w:val="single"/>
        </w:rPr>
      </w:pPr>
      <w:r>
        <w:rPr>
          <w:rFonts w:cs="Arial" w:ascii="Arial" w:hAnsi="Arial"/>
          <w:b/>
          <w:bCs/>
          <w:i/>
          <w:iCs/>
          <w:sz w:val="4"/>
          <w:szCs w:val="4"/>
          <w:u w:val="single"/>
        </w:rPr>
      </w:r>
    </w:p>
    <w:p>
      <w:pPr>
        <w:pStyle w:val="NoSpacing"/>
        <w:spacing w:lineRule="auto" w:line="360"/>
        <w:jc w:val="both"/>
        <w:rPr>
          <w:rFonts w:ascii="Arial" w:hAnsi="Arial" w:cs="Arial"/>
          <w:sz w:val="21"/>
          <w:szCs w:val="21"/>
        </w:rPr>
      </w:pPr>
      <w:r>
        <w:rPr>
          <w:rFonts w:cs="Arial" w:ascii="Arial" w:hAnsi="Arial"/>
          <w:sz w:val="21"/>
          <w:szCs w:val="21"/>
        </w:rPr>
        <w:tab/>
        <w:t>Selection of the candidates will be decided based on the merit (percentage of marks obtained in the SSC &amp; ITI – NCVT). The final selection will be subjected to verification of the certificates (Age, Qualification, Category and Aadhar) and medical fitness.</w:t>
      </w:r>
    </w:p>
    <w:p>
      <w:pPr>
        <w:pStyle w:val="Normal"/>
        <w:spacing w:lineRule="auto" w:line="240" w:before="0" w:after="0"/>
        <w:jc w:val="both"/>
        <w:rPr>
          <w:rFonts w:ascii="Arial" w:hAnsi="Arial" w:cs="Arial"/>
          <w:b/>
          <w:bCs/>
          <w:szCs w:val="22"/>
          <w:u w:val="single"/>
        </w:rPr>
      </w:pPr>
      <w:r>
        <w:rPr>
          <w:rFonts w:cs="Arial" w:ascii="Arial" w:hAnsi="Arial"/>
          <w:b/>
          <w:bCs/>
          <w:szCs w:val="22"/>
          <w:u w:val="single"/>
        </w:rPr>
      </w:r>
    </w:p>
    <w:p>
      <w:pPr>
        <w:pStyle w:val="ListParagraph"/>
        <w:spacing w:lineRule="auto" w:line="360" w:before="0" w:after="0"/>
        <w:ind w:left="1080"/>
        <w:contextualSpacing/>
        <w:jc w:val="right"/>
        <w:rPr>
          <w:rFonts w:ascii="Book Antiqua" w:hAnsi="Book Antiqua" w:cs="Arial"/>
          <w:b/>
          <w:bCs/>
          <w:sz w:val="24"/>
          <w:szCs w:val="24"/>
        </w:rPr>
      </w:pPr>
      <w:r>
        <w:rPr>
          <w:rFonts w:cs="Arial" w:ascii="Book Antiqua" w:hAnsi="Book Antiqua"/>
          <w:b/>
          <w:bCs/>
          <w:sz w:val="24"/>
          <w:szCs w:val="24"/>
        </w:rPr>
        <w:t>Cont./2…</w:t>
      </w:r>
    </w:p>
    <w:p>
      <w:pPr>
        <w:pStyle w:val="ListParagraph"/>
        <w:spacing w:lineRule="auto" w:line="360" w:before="0" w:after="0"/>
        <w:ind w:left="1080"/>
        <w:contextualSpacing/>
        <w:jc w:val="right"/>
        <w:rPr>
          <w:rFonts w:ascii="Book Antiqua" w:hAnsi="Book Antiqua" w:cs="Arial"/>
          <w:b/>
          <w:bCs/>
          <w:sz w:val="24"/>
          <w:szCs w:val="24"/>
        </w:rPr>
      </w:pPr>
      <w:r>
        <w:rPr>
          <w:rFonts w:cs="Arial" w:ascii="Book Antiqua" w:hAnsi="Book Antiqua"/>
          <w:b/>
          <w:bCs/>
          <w:sz w:val="24"/>
          <w:szCs w:val="24"/>
        </w:rPr>
      </w:r>
    </w:p>
    <w:p>
      <w:pPr>
        <w:pStyle w:val="ListParagraph"/>
        <w:spacing w:lineRule="auto" w:line="360" w:before="0" w:after="0"/>
        <w:ind w:left="1080"/>
        <w:contextualSpacing/>
        <w:jc w:val="center"/>
        <w:rPr>
          <w:rFonts w:ascii="Book Antiqua" w:hAnsi="Book Antiqua" w:cs="Arial"/>
          <w:b/>
          <w:bCs/>
          <w:sz w:val="16"/>
          <w:szCs w:val="16"/>
        </w:rPr>
      </w:pPr>
      <w:r>
        <w:rPr>
          <w:rFonts w:cs="Arial" w:ascii="Book Antiqua" w:hAnsi="Book Antiqua"/>
          <w:b/>
          <w:bCs/>
          <w:sz w:val="16"/>
          <w:szCs w:val="16"/>
        </w:rPr>
      </w:r>
    </w:p>
    <w:p>
      <w:pPr>
        <w:pStyle w:val="ListParagraph"/>
        <w:spacing w:lineRule="auto" w:line="360" w:before="0" w:after="0"/>
        <w:ind w:left="1080"/>
        <w:contextualSpacing/>
        <w:jc w:val="center"/>
        <w:rPr/>
      </w:pPr>
      <w:r>
        <w:rPr>
          <w:rFonts w:cs="Arial" w:ascii="Book Antiqua" w:hAnsi="Book Antiqua"/>
          <w:b/>
          <w:bCs/>
          <w:sz w:val="24"/>
          <w:szCs w:val="24"/>
        </w:rPr>
        <w:t>-2-</w:t>
      </w:r>
    </w:p>
    <w:p>
      <w:pPr>
        <w:pStyle w:val="Normal"/>
        <w:spacing w:lineRule="auto" w:line="240" w:before="0" w:after="0"/>
        <w:jc w:val="both"/>
        <w:rPr>
          <w:rFonts w:ascii="Arial" w:hAnsi="Arial" w:cs="Arial"/>
          <w:b/>
          <w:bCs/>
          <w:szCs w:val="22"/>
          <w:u w:val="single"/>
        </w:rPr>
      </w:pPr>
      <w:r>
        <w:rPr>
          <w:rFonts w:cs="Arial" w:ascii="Arial" w:hAnsi="Arial"/>
          <w:b/>
          <w:bCs/>
          <w:szCs w:val="22"/>
          <w:u w:val="single"/>
        </w:rPr>
        <w:t>General Conditions:</w:t>
      </w:r>
    </w:p>
    <w:p>
      <w:pPr>
        <w:pStyle w:val="Normal"/>
        <w:spacing w:lineRule="auto" w:line="240" w:before="0" w:after="0"/>
        <w:jc w:val="both"/>
        <w:rPr>
          <w:rFonts w:ascii="Arial" w:hAnsi="Arial" w:cs="Arial"/>
          <w:b/>
          <w:bCs/>
          <w:sz w:val="14"/>
          <w:szCs w:val="14"/>
          <w:u w:val="single"/>
        </w:rPr>
      </w:pPr>
      <w:r>
        <w:rPr>
          <w:rFonts w:cs="Arial" w:ascii="Arial" w:hAnsi="Arial"/>
          <w:b/>
          <w:bCs/>
          <w:sz w:val="14"/>
          <w:szCs w:val="14"/>
          <w:u w:val="single"/>
        </w:rPr>
      </w:r>
    </w:p>
    <w:p>
      <w:pPr>
        <w:pStyle w:val="Normal"/>
        <w:spacing w:lineRule="auto" w:line="240" w:before="0" w:after="0"/>
        <w:jc w:val="both"/>
        <w:rPr>
          <w:rFonts w:ascii="Arial" w:hAnsi="Arial" w:cs="Arial"/>
          <w:b/>
          <w:bCs/>
          <w:sz w:val="14"/>
          <w:szCs w:val="14"/>
          <w:u w:val="single"/>
        </w:rPr>
      </w:pPr>
      <w:r>
        <w:rPr>
          <w:rFonts w:cs="Arial" w:ascii="Arial" w:hAnsi="Arial"/>
          <w:b/>
          <w:bCs/>
          <w:sz w:val="14"/>
          <w:szCs w:val="14"/>
          <w:u w:val="single"/>
        </w:rPr>
      </w:r>
    </w:p>
    <w:p>
      <w:pPr>
        <w:pStyle w:val="ListParagraph"/>
        <w:numPr>
          <w:ilvl w:val="0"/>
          <w:numId w:val="1"/>
        </w:numPr>
        <w:spacing w:lineRule="auto" w:line="360" w:before="0" w:after="0"/>
        <w:ind w:hanging="720" w:left="1077"/>
        <w:contextualSpacing/>
        <w:jc w:val="both"/>
        <w:rPr>
          <w:rFonts w:ascii="Arial" w:hAnsi="Arial" w:cs="Arial"/>
          <w:szCs w:val="22"/>
        </w:rPr>
      </w:pPr>
      <w:r>
        <w:rPr>
          <w:rFonts w:cs="Arial" w:ascii="Arial" w:hAnsi="Arial"/>
          <w:szCs w:val="22"/>
        </w:rPr>
        <w:t xml:space="preserve">Maximum upper limit is 30 years as date.  </w:t>
      </w:r>
    </w:p>
    <w:p>
      <w:pPr>
        <w:pStyle w:val="ListParagraph"/>
        <w:numPr>
          <w:ilvl w:val="0"/>
          <w:numId w:val="1"/>
        </w:numPr>
        <w:spacing w:lineRule="auto" w:line="360" w:before="0" w:after="0"/>
        <w:ind w:hanging="720" w:left="1077"/>
        <w:contextualSpacing/>
        <w:jc w:val="both"/>
        <w:rPr/>
      </w:pPr>
      <w:r>
        <w:rPr>
          <w:rFonts w:cs="Arial" w:ascii="Arial" w:hAnsi="Arial"/>
          <w:szCs w:val="22"/>
        </w:rPr>
        <w:t>Age relaxation is applicable in accordance with the Government of India orders issued from time to time.</w:t>
      </w:r>
    </w:p>
    <w:p>
      <w:pPr>
        <w:pStyle w:val="ListParagraph"/>
        <w:numPr>
          <w:ilvl w:val="0"/>
          <w:numId w:val="1"/>
        </w:numPr>
        <w:spacing w:lineRule="auto" w:line="360" w:before="0" w:after="0"/>
        <w:ind w:hanging="720" w:left="1077"/>
        <w:contextualSpacing/>
        <w:jc w:val="both"/>
        <w:rPr/>
      </w:pPr>
      <w:r>
        <w:rPr>
          <w:rFonts w:cs="Arial" w:ascii="Arial" w:hAnsi="Arial"/>
          <w:sz w:val="21"/>
          <w:szCs w:val="21"/>
        </w:rPr>
        <w:t xml:space="preserve">For claiming the benefit of Reservations candidate should submit a proper caste certificate in the prescribed format by the Government of India, it has specifically mentioned that the candidate does not belongs to the persons / sections (Crème layer) in OBC.   </w:t>
      </w:r>
    </w:p>
    <w:p>
      <w:pPr>
        <w:pStyle w:val="ListParagraph"/>
        <w:spacing w:lineRule="auto" w:line="360" w:before="0" w:after="0"/>
        <w:ind w:left="1077"/>
        <w:contextualSpacing/>
        <w:jc w:val="both"/>
        <w:rPr>
          <w:sz w:val="4"/>
          <w:szCs w:val="21"/>
        </w:rPr>
      </w:pPr>
      <w:r>
        <w:rPr>
          <w:sz w:val="4"/>
          <w:szCs w:val="21"/>
        </w:rPr>
      </w:r>
    </w:p>
    <w:p>
      <w:pPr>
        <w:pStyle w:val="NoSpacing"/>
        <w:numPr>
          <w:ilvl w:val="0"/>
          <w:numId w:val="1"/>
        </w:numPr>
        <w:spacing w:lineRule="auto" w:line="360"/>
        <w:jc w:val="both"/>
        <w:rPr/>
      </w:pPr>
      <w:r>
        <w:rPr>
          <w:rFonts w:cs="Arial" w:ascii="Arial" w:hAnsi="Arial"/>
          <w:sz w:val="21"/>
          <w:szCs w:val="21"/>
        </w:rPr>
        <w:t xml:space="preserve">The candidate should not have undergone apprenticeship training elsewhere or currently undergoing Apprenticeship training as per the Apprenticeship Training Act 1961. </w:t>
      </w:r>
    </w:p>
    <w:p>
      <w:pPr>
        <w:pStyle w:val="ListParagraph"/>
        <w:numPr>
          <w:ilvl w:val="0"/>
          <w:numId w:val="1"/>
        </w:numPr>
        <w:spacing w:lineRule="auto" w:line="360" w:before="0" w:after="0"/>
        <w:ind w:hanging="720" w:left="1077"/>
        <w:contextualSpacing/>
        <w:jc w:val="both"/>
        <w:rPr/>
      </w:pPr>
      <w:r>
        <w:rPr>
          <w:rFonts w:cs="Arial" w:ascii="Arial" w:hAnsi="Arial"/>
          <w:sz w:val="21"/>
          <w:szCs w:val="21"/>
        </w:rPr>
        <w:t>It is not obligatory on the part of the company to offer any employment on completion of the Apprenticeship Training.</w:t>
      </w:r>
    </w:p>
    <w:p>
      <w:pPr>
        <w:pStyle w:val="ListParagraph"/>
        <w:numPr>
          <w:ilvl w:val="0"/>
          <w:numId w:val="1"/>
        </w:numPr>
        <w:spacing w:lineRule="auto" w:line="360" w:before="0" w:after="0"/>
        <w:ind w:hanging="720" w:left="1077"/>
        <w:contextualSpacing/>
        <w:jc w:val="both"/>
        <w:rPr/>
      </w:pPr>
      <w:r>
        <w:rPr>
          <w:rFonts w:cs="Arial" w:ascii="Arial" w:hAnsi="Arial"/>
          <w:sz w:val="21"/>
          <w:szCs w:val="21"/>
        </w:rPr>
        <w:t>The selected candidate will be governed as per the provisions of Apprenticeship Act 1961and further amendment made their in.</w:t>
      </w:r>
    </w:p>
    <w:p>
      <w:pPr>
        <w:pStyle w:val="ListParagraph"/>
        <w:numPr>
          <w:ilvl w:val="0"/>
          <w:numId w:val="1"/>
        </w:numPr>
        <w:spacing w:lineRule="auto" w:line="360" w:before="0" w:after="0"/>
        <w:ind w:hanging="720" w:left="1077"/>
        <w:contextualSpacing/>
        <w:jc w:val="both"/>
        <w:rPr/>
      </w:pPr>
      <w:r>
        <w:rPr>
          <w:rFonts w:cs="Arial" w:ascii="Arial" w:hAnsi="Arial"/>
          <w:szCs w:val="22"/>
        </w:rPr>
        <w:t>Management reserves the right to restrict / increase the number of posts &amp; alter the eligibility criteria. Management reserves the right to devise its own selection criteria.</w:t>
      </w:r>
    </w:p>
    <w:p>
      <w:pPr>
        <w:pStyle w:val="ListParagraph"/>
        <w:numPr>
          <w:ilvl w:val="0"/>
          <w:numId w:val="1"/>
        </w:numPr>
        <w:spacing w:lineRule="auto" w:line="360" w:before="0" w:after="0"/>
        <w:ind w:hanging="720" w:left="1077"/>
        <w:contextualSpacing/>
        <w:jc w:val="both"/>
        <w:rPr/>
      </w:pPr>
      <w:r>
        <w:rPr>
          <w:rFonts w:cs="Arial" w:ascii="Arial" w:hAnsi="Arial"/>
          <w:szCs w:val="22"/>
        </w:rPr>
        <w:t>Candidates will be treated as debarred ab-initio at any stage of the selection process in case they do not fulfill essential eligibility criteria.</w:t>
      </w:r>
    </w:p>
    <w:p>
      <w:pPr>
        <w:pStyle w:val="ListParagraph"/>
        <w:numPr>
          <w:ilvl w:val="0"/>
          <w:numId w:val="1"/>
        </w:numPr>
        <w:spacing w:lineRule="auto" w:line="360" w:before="0" w:after="0"/>
        <w:ind w:hanging="720" w:left="1077"/>
        <w:contextualSpacing/>
        <w:jc w:val="both"/>
        <w:rPr/>
      </w:pPr>
      <w:r>
        <w:rPr>
          <w:rFonts w:cs="Arial" w:ascii="Arial" w:hAnsi="Arial"/>
          <w:szCs w:val="22"/>
        </w:rPr>
        <w:t>Incomplete applications in any respect will be summarily rejected.</w:t>
      </w:r>
    </w:p>
    <w:p>
      <w:pPr>
        <w:pStyle w:val="ListParagraph"/>
        <w:numPr>
          <w:ilvl w:val="0"/>
          <w:numId w:val="1"/>
        </w:numPr>
        <w:spacing w:lineRule="auto" w:line="360" w:before="0" w:after="0"/>
        <w:ind w:hanging="720" w:left="1077"/>
        <w:contextualSpacing/>
        <w:jc w:val="both"/>
        <w:rPr/>
      </w:pPr>
      <w:r>
        <w:rPr>
          <w:rFonts w:cs="Arial" w:ascii="Arial" w:hAnsi="Arial"/>
          <w:szCs w:val="22"/>
        </w:rPr>
        <w:t>MIDHANI reserves the right to cancel the advertisement and / or the selection process there under without assigning any reasons.</w:t>
      </w:r>
    </w:p>
    <w:p>
      <w:pPr>
        <w:pStyle w:val="ListParagraph"/>
        <w:numPr>
          <w:ilvl w:val="0"/>
          <w:numId w:val="1"/>
        </w:numPr>
        <w:spacing w:lineRule="auto" w:line="360" w:before="0" w:after="0"/>
        <w:ind w:hanging="720" w:left="1077"/>
        <w:contextualSpacing/>
        <w:jc w:val="both"/>
        <w:rPr/>
      </w:pPr>
      <w:r>
        <w:rPr>
          <w:rFonts w:cs="Arial" w:ascii="Arial" w:hAnsi="Arial"/>
          <w:szCs w:val="22"/>
        </w:rPr>
        <w:t xml:space="preserve">Decision of MIDHANI Management regarding selection will be final. </w:t>
      </w:r>
    </w:p>
    <w:p>
      <w:pPr>
        <w:pStyle w:val="ListParagraph"/>
        <w:numPr>
          <w:ilvl w:val="0"/>
          <w:numId w:val="1"/>
        </w:numPr>
        <w:spacing w:lineRule="auto" w:line="360" w:before="0" w:after="0"/>
        <w:ind w:hanging="720" w:left="1077"/>
        <w:contextualSpacing/>
        <w:jc w:val="both"/>
        <w:rPr/>
      </w:pPr>
      <w:r>
        <w:rPr>
          <w:rFonts w:cs="Arial" w:ascii="Arial" w:hAnsi="Arial"/>
          <w:szCs w:val="22"/>
        </w:rPr>
        <w:t>Canvassing in any form or bringing outside influence will lead to disqualification.</w:t>
      </w:r>
    </w:p>
    <w:p>
      <w:pPr>
        <w:pStyle w:val="ListParagraph"/>
        <w:numPr>
          <w:ilvl w:val="0"/>
          <w:numId w:val="1"/>
        </w:numPr>
        <w:spacing w:lineRule="auto" w:line="360" w:before="0" w:after="0"/>
        <w:ind w:hanging="720" w:left="1077"/>
        <w:contextualSpacing/>
        <w:jc w:val="both"/>
        <w:rPr/>
      </w:pPr>
      <w:r>
        <w:rPr>
          <w:rFonts w:cs="Arial" w:ascii="Arial" w:hAnsi="Arial"/>
          <w:szCs w:val="22"/>
        </w:rPr>
        <w:t>Before applying, the candidates should satisfy themselves regarding eligibility criteria desired for the post.</w:t>
      </w:r>
    </w:p>
    <w:p>
      <w:pPr>
        <w:pStyle w:val="ListParagraph"/>
        <w:numPr>
          <w:ilvl w:val="0"/>
          <w:numId w:val="1"/>
        </w:numPr>
        <w:spacing w:lineRule="auto" w:line="360" w:before="0" w:after="0"/>
        <w:ind w:hanging="720" w:left="1077"/>
        <w:contextualSpacing/>
        <w:jc w:val="both"/>
        <w:rPr/>
      </w:pPr>
      <w:r>
        <w:rPr>
          <w:rFonts w:cs="Arial" w:ascii="Arial" w:hAnsi="Arial"/>
          <w:sz w:val="21"/>
          <w:szCs w:val="21"/>
        </w:rPr>
        <w:t xml:space="preserve">No TA / DA will be paid to the candidates.  </w:t>
      </w:r>
    </w:p>
    <w:p>
      <w:pPr>
        <w:pStyle w:val="ListParagraph"/>
        <w:numPr>
          <w:ilvl w:val="0"/>
          <w:numId w:val="1"/>
        </w:numPr>
        <w:spacing w:lineRule="auto" w:line="360" w:before="0" w:after="0"/>
        <w:ind w:hanging="720" w:left="1077"/>
        <w:contextualSpacing/>
        <w:jc w:val="both"/>
        <w:rPr/>
      </w:pPr>
      <w:r>
        <w:rPr>
          <w:rFonts w:cs="Arial" w:ascii="Arial" w:hAnsi="Arial"/>
          <w:szCs w:val="22"/>
        </w:rPr>
        <w:t xml:space="preserve">Necessary information regarding the Selection, Corrigendum if any related to this advertisement will be hosted on MIDHANI </w:t>
      </w:r>
      <w:hyperlink r:id="rId5">
        <w:r>
          <w:rPr>
            <w:rStyle w:val="Hyperlink"/>
            <w:rFonts w:cs="Arial" w:ascii="Arial" w:hAnsi="Arial"/>
            <w:szCs w:val="22"/>
          </w:rPr>
          <w:t>https://midhani-india.in/department_hrd/career-at-midhani/</w:t>
        </w:r>
      </w:hyperlink>
      <w:r>
        <w:rPr/>
        <w:t xml:space="preserve"> </w:t>
      </w:r>
      <w:r>
        <w:rPr>
          <w:rFonts w:cs="Arial" w:ascii="Arial" w:hAnsi="Arial"/>
          <w:szCs w:val="22"/>
        </w:rPr>
        <w:t xml:space="preserve">from time to time. </w:t>
      </w:r>
    </w:p>
    <w:p>
      <w:pPr>
        <w:pStyle w:val="ListParagraph"/>
        <w:spacing w:lineRule="auto" w:line="360" w:before="0" w:after="0"/>
        <w:ind w:left="1077"/>
        <w:contextualSpacing/>
        <w:jc w:val="both"/>
        <w:rPr>
          <w:rFonts w:ascii="Arial" w:hAnsi="Arial" w:cs="Arial"/>
          <w:b/>
          <w:bCs/>
          <w:szCs w:val="22"/>
        </w:rPr>
      </w:pPr>
      <w:r>
        <w:rPr>
          <w:rFonts w:cs="Arial" w:ascii="Arial" w:hAnsi="Arial"/>
          <w:b/>
          <w:bCs/>
          <w:szCs w:val="22"/>
        </w:rPr>
      </w:r>
    </w:p>
    <w:p>
      <w:pPr>
        <w:pStyle w:val="ListParagraph"/>
        <w:spacing w:lineRule="auto" w:line="360" w:before="0" w:after="0"/>
        <w:ind w:left="1077"/>
        <w:contextualSpacing/>
        <w:jc w:val="both"/>
        <w:rPr/>
      </w:pPr>
      <w:r>
        <w:rPr/>
      </w:r>
    </w:p>
    <w:p>
      <w:pPr>
        <w:pStyle w:val="ListParagraph"/>
        <w:spacing w:lineRule="auto" w:line="360" w:before="0" w:after="0"/>
        <w:ind w:left="1077"/>
        <w:contextualSpacing/>
        <w:jc w:val="both"/>
        <w:rPr/>
      </w:pPr>
      <w:r>
        <w:rPr/>
      </w:r>
    </w:p>
    <w:p>
      <w:pPr>
        <w:pStyle w:val="Normal"/>
        <w:spacing w:lineRule="auto" w:line="240" w:before="0" w:after="0"/>
        <w:jc w:val="both"/>
        <w:rPr>
          <w:rFonts w:ascii="Arial" w:hAnsi="Arial" w:cs="Arial"/>
        </w:rPr>
      </w:pPr>
      <w:r>
        <w:rPr>
          <w:rFonts w:cs="Arial" w:ascii="Arial" w:hAnsi="Arial"/>
          <w:b/>
          <w:bCs/>
          <w:sz w:val="24"/>
          <w:szCs w:val="24"/>
        </w:rPr>
        <w:t>MDN/HR/AT/01/25</w:t>
        <w:tab/>
        <w:tab/>
      </w:r>
    </w:p>
    <w:p>
      <w:pPr>
        <w:pStyle w:val="Normal"/>
        <w:spacing w:lineRule="auto" w:line="240" w:before="0" w:after="0"/>
        <w:jc w:val="both"/>
        <w:rPr>
          <w:rFonts w:ascii="Arial" w:hAnsi="Arial" w:cs="Arial"/>
        </w:rPr>
      </w:pPr>
      <w:r>
        <w:rPr>
          <w:rFonts w:cs="Arial" w:ascii="Arial" w:hAnsi="Arial"/>
          <w:b/>
          <w:bCs/>
          <w:sz w:val="24"/>
          <w:szCs w:val="24"/>
        </w:rPr>
        <w:t>Date:11 Nov 2025</w:t>
        <w:tab/>
        <w:tab/>
        <w:tab/>
        <w:tab/>
        <w:tab/>
        <w:tab/>
        <w:t xml:space="preserve">          Addl.General Manager (I/c-HR) </w:t>
      </w:r>
    </w:p>
    <w:sectPr>
      <w:type w:val="nextPage"/>
      <w:pgSz w:w="11906" w:h="16838"/>
      <w:pgMar w:left="993" w:right="992" w:gutter="0" w:header="0" w:top="630" w:footer="0" w:bottom="81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ahoma">
    <w:charset w:val="01"/>
    <w:family w:val="swiss"/>
    <w:pitch w:val="default"/>
  </w:font>
  <w:font w:name="Arial">
    <w:charset w:val="01"/>
    <w:family w:val="swiss"/>
    <w:pitch w:val="default"/>
  </w:font>
  <w:font w:name="Book Antiqua">
    <w:charset w:val="01"/>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80" w:hanging="720"/>
      </w:pPr>
      <w:rPr>
        <w:b/>
        <w:b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2"/>
  </w:compat>
  <w:themeFontLang w:val="en-US" w:eastAsia="" w:bidi="hi-IN"/>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lang w:val="en-IN" w:eastAsia="en-I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70f22"/>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0"/>
      <w:lang w:val="en-IN" w:eastAsia="en-IN" w:bidi="hi-IN"/>
    </w:rPr>
  </w:style>
  <w:style w:type="character" w:styleId="DefaultParagraphFont" w:default="1">
    <w:name w:val="Default Paragraph Font"/>
    <w:uiPriority w:val="1"/>
    <w:semiHidden/>
    <w:unhideWhenUsed/>
    <w:qFormat/>
    <w:rPr/>
  </w:style>
  <w:style w:type="character" w:styleId="Hyperlink">
    <w:name w:val="Hyperlink"/>
    <w:basedOn w:val="DefaultParagraphFont"/>
    <w:uiPriority w:val="99"/>
    <w:unhideWhenUsed/>
    <w:rsid w:val="009005d8"/>
    <w:rPr>
      <w:color w:themeColor="hyperlink" w:val="0000FF"/>
      <w:u w:val="single"/>
    </w:rPr>
  </w:style>
  <w:style w:type="character" w:styleId="BalloonTextChar" w:customStyle="1">
    <w:name w:val="Balloon Text Char"/>
    <w:basedOn w:val="DefaultParagraphFont"/>
    <w:link w:val="BalloonText"/>
    <w:uiPriority w:val="99"/>
    <w:semiHidden/>
    <w:qFormat/>
    <w:rsid w:val="009005d8"/>
    <w:rPr>
      <w:rFonts w:ascii="Tahoma" w:hAnsi="Tahoma" w:cs="Mangal"/>
      <w:sz w:val="16"/>
      <w:szCs w:val="14"/>
    </w:rPr>
  </w:style>
  <w:style w:type="character" w:styleId="FollowedHyperlink">
    <w:name w:val="FollowedHyperlink"/>
    <w:basedOn w:val="DefaultParagraphFont"/>
    <w:uiPriority w:val="99"/>
    <w:semiHidden/>
    <w:unhideWhenUsed/>
    <w:rsid w:val="00003758"/>
    <w:rPr>
      <w:color w:themeColor="followedHyperlink" w:val="800080"/>
      <w:u w:val="single"/>
    </w:rPr>
  </w:style>
  <w:style w:type="character" w:styleId="UnresolvedMention" w:customStyle="1">
    <w:name w:val="Unresolved Mention"/>
    <w:basedOn w:val="DefaultParagraphFont"/>
    <w:uiPriority w:val="99"/>
    <w:semiHidden/>
    <w:unhideWhenUsed/>
    <w:qFormat/>
    <w:rsid w:val="00597f53"/>
    <w:rPr>
      <w:color w:val="605E5C"/>
      <w:shd w:fill="E1DFDD" w:val="clear"/>
    </w:rPr>
  </w:style>
  <w:style w:type="paragraph" w:styleId="Heading" w:customStyle="1">
    <w:name w:val="Heading"/>
    <w:basedOn w:val="Normal"/>
    <w:next w:val="BodyText"/>
    <w:qFormat/>
    <w:rsid w:val="00524d91"/>
    <w:pPr>
      <w:keepNext w:val="true"/>
      <w:spacing w:before="240" w:after="120"/>
    </w:pPr>
    <w:rPr>
      <w:rFonts w:ascii="Arial" w:hAnsi="Arial" w:eastAsia="Noto Sans CJK SC" w:cs="Mangal"/>
      <w:sz w:val="28"/>
      <w:szCs w:val="28"/>
    </w:rPr>
  </w:style>
  <w:style w:type="paragraph" w:styleId="BodyText">
    <w:name w:val="Body Text"/>
    <w:basedOn w:val="Normal"/>
    <w:rsid w:val="00524d91"/>
    <w:pPr>
      <w:spacing w:before="0" w:after="140"/>
    </w:pPr>
    <w:rPr/>
  </w:style>
  <w:style w:type="paragraph" w:styleId="List">
    <w:name w:val="List"/>
    <w:basedOn w:val="BodyText"/>
    <w:rsid w:val="00524d91"/>
    <w:pPr/>
    <w:rPr>
      <w:rFonts w:ascii="Arial" w:hAnsi="Arial" w:cs="Mangal"/>
    </w:rPr>
  </w:style>
  <w:style w:type="paragraph" w:styleId="Caption">
    <w:name w:val="Caption"/>
    <w:basedOn w:val="Normal"/>
    <w:qFormat/>
    <w:pPr>
      <w:suppressLineNumbers/>
      <w:spacing w:before="120" w:after="120"/>
    </w:pPr>
    <w:rPr>
      <w:rFonts w:ascii="Arial" w:hAnsi="Arial" w:cs="Mangal"/>
      <w:i/>
      <w:iCs/>
      <w:sz w:val="24"/>
      <w:szCs w:val="24"/>
    </w:rPr>
  </w:style>
  <w:style w:type="paragraph" w:styleId="Index" w:customStyle="1">
    <w:name w:val="Index"/>
    <w:basedOn w:val="Normal"/>
    <w:qFormat/>
    <w:rsid w:val="00524d91"/>
    <w:pPr>
      <w:suppressLineNumbers/>
    </w:pPr>
    <w:rPr>
      <w:rFonts w:ascii="Arial" w:hAnsi="Arial" w:cs="Mangal"/>
    </w:rPr>
  </w:style>
  <w:style w:type="paragraph" w:styleId="Caption1">
    <w:name w:val="caption1"/>
    <w:basedOn w:val="Normal"/>
    <w:qFormat/>
    <w:rsid w:val="00524d91"/>
    <w:pPr>
      <w:suppressLineNumbers/>
      <w:spacing w:before="120" w:after="120"/>
    </w:pPr>
    <w:rPr>
      <w:rFonts w:ascii="Arial" w:hAnsi="Arial" w:cs="Mangal"/>
      <w:i/>
      <w:iCs/>
      <w:sz w:val="24"/>
      <w:szCs w:val="24"/>
    </w:rPr>
  </w:style>
  <w:style w:type="paragraph" w:styleId="NoSpacing">
    <w:name w:val="No Spacing"/>
    <w:uiPriority w:val="1"/>
    <w:qFormat/>
    <w:rsid w:val="009005d8"/>
    <w:pPr>
      <w:widowControl/>
      <w:suppressAutoHyphens w:val="true"/>
      <w:bidi w:val="0"/>
      <w:spacing w:before="0" w:after="0"/>
      <w:jc w:val="left"/>
    </w:pPr>
    <w:rPr>
      <w:rFonts w:ascii="Calibri" w:hAnsi="Calibri" w:eastAsia="Calibri" w:cs="Mangal" w:eastAsiaTheme="minorHAnsi"/>
      <w:color w:val="auto"/>
      <w:kern w:val="0"/>
      <w:sz w:val="22"/>
      <w:szCs w:val="20"/>
      <w:lang w:val="en-IN" w:eastAsia="en-US" w:bidi="hi-IN"/>
    </w:rPr>
  </w:style>
  <w:style w:type="paragraph" w:styleId="BalloonText">
    <w:name w:val="Balloon Text"/>
    <w:basedOn w:val="Normal"/>
    <w:link w:val="BalloonTextChar"/>
    <w:uiPriority w:val="99"/>
    <w:semiHidden/>
    <w:unhideWhenUsed/>
    <w:qFormat/>
    <w:rsid w:val="009005d8"/>
    <w:pPr>
      <w:spacing w:lineRule="auto" w:line="240" w:before="0" w:after="0"/>
    </w:pPr>
    <w:rPr>
      <w:rFonts w:ascii="Tahoma" w:hAnsi="Tahoma" w:cs="Mangal"/>
      <w:sz w:val="16"/>
      <w:szCs w:val="14"/>
    </w:rPr>
  </w:style>
  <w:style w:type="paragraph" w:styleId="ListParagraph">
    <w:name w:val="List Paragraph"/>
    <w:basedOn w:val="Normal"/>
    <w:uiPriority w:val="34"/>
    <w:qFormat/>
    <w:rsid w:val="00c02c99"/>
    <w:pPr>
      <w:spacing w:before="0" w:after="200"/>
      <w:ind w:left="720"/>
      <w:contextualSpacing/>
    </w:pPr>
    <w:rPr>
      <w:lang w:val="en-US" w:eastAsia="en-US"/>
    </w:rPr>
  </w:style>
  <w:style w:type="paragraph" w:styleId="FrameContents" w:customStyle="1">
    <w:name w:val="Frame Contents"/>
    <w:basedOn w:val="Normal"/>
    <w:qFormat/>
    <w:rsid w:val="00524d91"/>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table" w:styleId="TableGrid">
    <w:name w:val="Table Grid"/>
    <w:basedOn w:val="TableNormal"/>
    <w:uiPriority w:val="59"/>
    <w:rsid w:val="00846c5c"/>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hyperlink" Target="http://www.apprenticeshipindia.org/" TargetMode="External"/><Relationship Id="rId5" Type="http://schemas.openxmlformats.org/officeDocument/2006/relationships/hyperlink" Target="https://midhani-india.in/department_hrd/career-at-midhani/"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9</TotalTime>
  <Application>LibreOffice/7.6.7.2$Linux_X86_64 LibreOffice_project/60$Build-2</Application>
  <AppVersion>15.0000</AppVersion>
  <Pages>3</Pages>
  <Words>587</Words>
  <Characters>3344</Characters>
  <CharactersWithSpaces>3899</CharactersWithSpaces>
  <Paragraphs>70</Paragraphs>
  <Company>Hewlett-Packard Company</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2025-11-11T06:34:00Z</dcterms:created>
  <dc:creator>MURUGAN1</dc:creator>
  <dc:description/>
  <dc:language>en-US</dc:language>
  <cp:lastModifiedBy/>
  <dcterms:modified xsi:type="dcterms:W3CDTF">2025-11-11T12:38:25Z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